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0628" w14:textId="61B9B8A8" w:rsidR="00724A6E" w:rsidRPr="00724A6E" w:rsidRDefault="00A638DD" w:rsidP="00724A6E">
      <w:pPr>
        <w:jc w:val="center"/>
        <w:rPr>
          <w:rFonts w:ascii="Times New Roman" w:hAnsi="Times New Roman"/>
          <w:b/>
          <w:sz w:val="40"/>
          <w:szCs w:val="40"/>
        </w:rPr>
      </w:pPr>
      <w:r w:rsidRPr="00724A6E">
        <w:rPr>
          <w:rFonts w:ascii="Times New Roman" w:hAnsi="Times New Roman"/>
          <w:b/>
          <w:noProof/>
          <w:sz w:val="40"/>
          <w:szCs w:val="40"/>
        </w:rPr>
        <w:drawing>
          <wp:anchor distT="0" distB="0" distL="114300" distR="114300" simplePos="0" relativeHeight="251658240" behindDoc="0" locked="0" layoutInCell="1" allowOverlap="1" wp14:anchorId="5D431E7F" wp14:editId="6411E119">
            <wp:simplePos x="0" y="0"/>
            <wp:positionH relativeFrom="column">
              <wp:posOffset>3810</wp:posOffset>
            </wp:positionH>
            <wp:positionV relativeFrom="paragraph">
              <wp:posOffset>139612</wp:posOffset>
            </wp:positionV>
            <wp:extent cx="1080000" cy="858795"/>
            <wp:effectExtent l="0" t="0" r="6350" b="0"/>
            <wp:wrapSquare wrapText="right"/>
            <wp:docPr id="1022228594" name="Bild1"/>
            <wp:cNvGraphicFramePr/>
            <a:graphic xmlns:a="http://schemas.openxmlformats.org/drawingml/2006/main">
              <a:graphicData uri="http://schemas.openxmlformats.org/drawingml/2006/picture">
                <pic:pic xmlns:pic="http://schemas.openxmlformats.org/drawingml/2006/picture">
                  <pic:nvPicPr>
                    <pic:cNvPr id="1022228594" name="Bild1"/>
                    <pic:cNvPicPr/>
                  </pic:nvPicPr>
                  <pic:blipFill>
                    <a:blip r:embed="rId6">
                      <a:extLst>
                        <a:ext uri="{28A0092B-C50C-407E-A947-70E740481C1C}">
                          <a14:useLocalDpi xmlns:a14="http://schemas.microsoft.com/office/drawing/2010/main" val="0"/>
                        </a:ext>
                      </a:extLst>
                    </a:blip>
                    <a:stretch>
                      <a:fillRect/>
                    </a:stretch>
                  </pic:blipFill>
                  <pic:spPr>
                    <a:xfrm>
                      <a:off x="0" y="0"/>
                      <a:ext cx="1080000" cy="858795"/>
                    </a:xfrm>
                    <a:prstGeom prst="rect">
                      <a:avLst/>
                    </a:prstGeom>
                  </pic:spPr>
                </pic:pic>
              </a:graphicData>
            </a:graphic>
            <wp14:sizeRelV relativeFrom="margin">
              <wp14:pctHeight>0</wp14:pctHeight>
            </wp14:sizeRelV>
          </wp:anchor>
        </w:drawing>
      </w:r>
      <w:r w:rsidRPr="00724A6E">
        <w:rPr>
          <w:rFonts w:ascii="Times New Roman" w:hAnsi="Times New Roman"/>
          <w:b/>
          <w:noProof/>
          <w:sz w:val="40"/>
          <w:szCs w:val="40"/>
        </w:rPr>
        <w:drawing>
          <wp:anchor distT="0" distB="0" distL="114300" distR="114300" simplePos="0" relativeHeight="251659264" behindDoc="0" locked="0" layoutInCell="1" allowOverlap="1" wp14:anchorId="5ADD29CB" wp14:editId="1C22C6CE">
            <wp:simplePos x="0" y="0"/>
            <wp:positionH relativeFrom="column">
              <wp:align>right</wp:align>
            </wp:positionH>
            <wp:positionV relativeFrom="paragraph">
              <wp:align>top</wp:align>
            </wp:positionV>
            <wp:extent cx="1115640" cy="1115640"/>
            <wp:effectExtent l="0" t="0" r="8310" b="8310"/>
            <wp:wrapSquare wrapText="left"/>
            <wp:docPr id="2009814736"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15640" cy="1115640"/>
                    </a:xfrm>
                    <a:prstGeom prst="rect">
                      <a:avLst/>
                    </a:prstGeom>
                  </pic:spPr>
                </pic:pic>
              </a:graphicData>
            </a:graphic>
          </wp:anchor>
        </w:drawing>
      </w:r>
      <w:r w:rsidR="00724A6E" w:rsidRPr="00724A6E">
        <w:rPr>
          <w:rFonts w:ascii="Times New Roman" w:hAnsi="Times New Roman" w:hint="eastAsia"/>
          <w:b/>
          <w:sz w:val="40"/>
          <w:szCs w:val="40"/>
        </w:rPr>
        <w:t xml:space="preserve">Einladung zur </w:t>
      </w:r>
    </w:p>
    <w:p w14:paraId="3BB2FCFE" w14:textId="09AB2AC2" w:rsidR="00724A6E" w:rsidRPr="00724A6E" w:rsidRDefault="00724A6E" w:rsidP="00724A6E">
      <w:pPr>
        <w:jc w:val="center"/>
        <w:rPr>
          <w:rFonts w:ascii="Times New Roman" w:hAnsi="Times New Roman"/>
          <w:b/>
          <w:sz w:val="40"/>
          <w:szCs w:val="40"/>
        </w:rPr>
      </w:pPr>
      <w:r w:rsidRPr="00724A6E">
        <w:rPr>
          <w:rFonts w:ascii="Times New Roman" w:hAnsi="Times New Roman" w:hint="eastAsia"/>
          <w:b/>
          <w:sz w:val="40"/>
          <w:szCs w:val="40"/>
        </w:rPr>
        <w:t>Kreis-Jugend-Einzelmeisterschaft</w:t>
      </w:r>
    </w:p>
    <w:p w14:paraId="6BA08F6D" w14:textId="77777777" w:rsidR="00724A6E" w:rsidRPr="00724A6E" w:rsidRDefault="00724A6E" w:rsidP="00724A6E">
      <w:pPr>
        <w:jc w:val="center"/>
        <w:rPr>
          <w:rFonts w:ascii="Times New Roman" w:hAnsi="Times New Roman"/>
          <w:b/>
          <w:sz w:val="40"/>
          <w:szCs w:val="40"/>
        </w:rPr>
      </w:pPr>
      <w:r w:rsidRPr="00724A6E">
        <w:rPr>
          <w:rFonts w:ascii="Times New Roman" w:hAnsi="Times New Roman" w:hint="eastAsia"/>
          <w:b/>
          <w:sz w:val="40"/>
          <w:szCs w:val="40"/>
        </w:rPr>
        <w:t xml:space="preserve">des Spielkreises </w:t>
      </w:r>
    </w:p>
    <w:p w14:paraId="30406731" w14:textId="140053EE" w:rsidR="004C6CB8" w:rsidRPr="00724A6E" w:rsidRDefault="00724A6E" w:rsidP="00724A6E">
      <w:pPr>
        <w:jc w:val="center"/>
        <w:rPr>
          <w:rFonts w:ascii="Times New Roman" w:hAnsi="Times New Roman"/>
          <w:b/>
          <w:sz w:val="40"/>
          <w:szCs w:val="40"/>
        </w:rPr>
      </w:pPr>
      <w:r w:rsidRPr="00724A6E">
        <w:rPr>
          <w:rFonts w:ascii="Times New Roman" w:hAnsi="Times New Roman" w:hint="eastAsia"/>
          <w:b/>
          <w:sz w:val="40"/>
          <w:szCs w:val="40"/>
        </w:rPr>
        <w:t>Spessart-Untermain</w:t>
      </w:r>
    </w:p>
    <w:p w14:paraId="31C39E37" w14:textId="77777777" w:rsidR="004C6CB8" w:rsidRDefault="004C6CB8">
      <w:pPr>
        <w:jc w:val="center"/>
        <w:rPr>
          <w:rFonts w:ascii="Times New Roman" w:hAnsi="Times New Roman"/>
          <w:b/>
          <w:sz w:val="12"/>
          <w:szCs w:val="12"/>
        </w:rPr>
      </w:pPr>
    </w:p>
    <w:p w14:paraId="38996E89" w14:textId="77777777" w:rsidR="004C6CB8" w:rsidRDefault="00A638DD">
      <w:pPr>
        <w:jc w:val="center"/>
        <w:rPr>
          <w:rFonts w:ascii="Times New Roman" w:hAnsi="Times New Roman"/>
          <w:sz w:val="36"/>
          <w:szCs w:val="36"/>
        </w:rPr>
      </w:pPr>
      <w:r w:rsidRPr="00512928">
        <w:rPr>
          <w:rFonts w:ascii="Times New Roman" w:hAnsi="Times New Roman"/>
          <w:sz w:val="28"/>
          <w:szCs w:val="28"/>
        </w:rPr>
        <w:t>ausgerichtet von den</w:t>
      </w:r>
      <w:r>
        <w:rPr>
          <w:rFonts w:ascii="Times New Roman" w:hAnsi="Times New Roman"/>
          <w:sz w:val="36"/>
          <w:szCs w:val="36"/>
        </w:rPr>
        <w:t xml:space="preserve"> </w:t>
      </w:r>
      <w:r>
        <w:rPr>
          <w:rFonts w:ascii="Times New Roman" w:hAnsi="Times New Roman"/>
          <w:sz w:val="36"/>
          <w:szCs w:val="36"/>
        </w:rPr>
        <w:br/>
        <w:t xml:space="preserve">Schachfreunden 1967 Sailauf </w:t>
      </w:r>
      <w:proofErr w:type="spellStart"/>
      <w:r>
        <w:rPr>
          <w:rFonts w:ascii="Times New Roman" w:hAnsi="Times New Roman"/>
          <w:sz w:val="36"/>
          <w:szCs w:val="36"/>
        </w:rPr>
        <w:t>e.V</w:t>
      </w:r>
      <w:proofErr w:type="spellEnd"/>
    </w:p>
    <w:p w14:paraId="1CB82015" w14:textId="77777777" w:rsidR="00721980" w:rsidRDefault="00721980">
      <w:pPr>
        <w:jc w:val="center"/>
        <w:rPr>
          <w:rFonts w:ascii="Times New Roman" w:hAnsi="Times New Roman"/>
          <w:sz w:val="36"/>
          <w:szCs w:val="36"/>
        </w:rPr>
      </w:pPr>
    </w:p>
    <w:p w14:paraId="28421B13" w14:textId="69B4BEDC" w:rsidR="00721980" w:rsidRPr="00721980" w:rsidRDefault="00721980">
      <w:pPr>
        <w:jc w:val="center"/>
        <w:rPr>
          <w:rFonts w:ascii="Times New Roman" w:hAnsi="Times New Roman"/>
          <w:b/>
          <w:bCs/>
          <w:sz w:val="36"/>
          <w:szCs w:val="36"/>
        </w:rPr>
      </w:pPr>
      <w:r w:rsidRPr="00721980">
        <w:rPr>
          <w:rFonts w:ascii="Times New Roman" w:hAnsi="Times New Roman"/>
          <w:b/>
          <w:bCs/>
          <w:sz w:val="36"/>
          <w:szCs w:val="36"/>
        </w:rPr>
        <w:t>am Samstag, den 11. Oktober 2025</w:t>
      </w:r>
    </w:p>
    <w:p w14:paraId="31CDFF10" w14:textId="77777777" w:rsidR="004C6CB8" w:rsidRDefault="004C6CB8">
      <w:pPr>
        <w:rPr>
          <w:rFonts w:ascii="Times New Roman" w:hAnsi="Times New Roman"/>
          <w:sz w:val="33"/>
        </w:rPr>
      </w:pPr>
    </w:p>
    <w:p w14:paraId="061582F7" w14:textId="420625F7" w:rsidR="00C67925" w:rsidRPr="00721980" w:rsidRDefault="00721980" w:rsidP="000A2B10">
      <w:pPr>
        <w:spacing w:line="360" w:lineRule="auto"/>
        <w:rPr>
          <w:rFonts w:ascii="Times New Roman" w:hAnsi="Times New Roman"/>
        </w:rPr>
      </w:pPr>
      <w:r w:rsidRPr="00721980">
        <w:rPr>
          <w:b/>
          <w:bCs/>
          <w:color w:val="000000"/>
        </w:rPr>
        <w:t>Spielort:</w:t>
      </w:r>
      <w:r w:rsidRPr="00721980">
        <w:rPr>
          <w:color w:val="000000"/>
        </w:rPr>
        <w:t xml:space="preserve"> Bürgerzentrum Sailauf, Am Kirchberg 2, 63877 Sailauf</w:t>
      </w:r>
    </w:p>
    <w:p w14:paraId="0502BAB8" w14:textId="2B8441E8" w:rsidR="00C67925" w:rsidRPr="00721980" w:rsidRDefault="00721980" w:rsidP="000A2B10">
      <w:pPr>
        <w:spacing w:line="360" w:lineRule="auto"/>
        <w:rPr>
          <w:color w:val="000000"/>
        </w:rPr>
      </w:pPr>
      <w:r w:rsidRPr="00721980">
        <w:rPr>
          <w:b/>
          <w:bCs/>
          <w:color w:val="000000"/>
        </w:rPr>
        <w:t>Spielbeginn:</w:t>
      </w:r>
      <w:r w:rsidRPr="00721980">
        <w:rPr>
          <w:color w:val="000000"/>
        </w:rPr>
        <w:t xml:space="preserve"> 10:00 Uhr</w:t>
      </w:r>
    </w:p>
    <w:p w14:paraId="2DB6D1E2" w14:textId="3CF01069" w:rsidR="00C67925" w:rsidRDefault="00721980" w:rsidP="000A2B10">
      <w:pPr>
        <w:spacing w:line="360" w:lineRule="auto"/>
        <w:rPr>
          <w:color w:val="000000"/>
        </w:rPr>
      </w:pPr>
      <w:r w:rsidRPr="00721980">
        <w:rPr>
          <w:b/>
          <w:bCs/>
          <w:color w:val="000000"/>
        </w:rPr>
        <w:t>Anmeldung:</w:t>
      </w:r>
      <w:r w:rsidRPr="00721980">
        <w:rPr>
          <w:color w:val="000000"/>
        </w:rPr>
        <w:t xml:space="preserve"> </w:t>
      </w:r>
      <w:r w:rsidRPr="000A2B10">
        <w:rPr>
          <w:b/>
          <w:bCs/>
          <w:color w:val="000000"/>
        </w:rPr>
        <w:t>Spätestens</w:t>
      </w:r>
      <w:r w:rsidRPr="00721980">
        <w:rPr>
          <w:color w:val="000000"/>
        </w:rPr>
        <w:t xml:space="preserve"> am Turniertag bis 9:30 Uhr</w:t>
      </w:r>
    </w:p>
    <w:p w14:paraId="579AA330" w14:textId="62734D37" w:rsidR="00721980" w:rsidRPr="00512928" w:rsidRDefault="00721980" w:rsidP="000A2B10">
      <w:pPr>
        <w:spacing w:line="360" w:lineRule="auto"/>
        <w:rPr>
          <w:color w:val="000000"/>
        </w:rPr>
      </w:pPr>
      <w:r w:rsidRPr="00721980">
        <w:rPr>
          <w:b/>
          <w:bCs/>
        </w:rPr>
        <w:t>Startgeld:</w:t>
      </w:r>
      <w:r>
        <w:t xml:space="preserve"> </w:t>
      </w:r>
      <w:r w:rsidRPr="00512928">
        <w:rPr>
          <w:color w:val="000000"/>
        </w:rPr>
        <w:t>€ 6,00 je Teilnehmer/-in</w:t>
      </w:r>
    </w:p>
    <w:p w14:paraId="272B3D67" w14:textId="4B2AB08D" w:rsidR="000A2B10" w:rsidRDefault="000A2B10" w:rsidP="000A2B10">
      <w:pPr>
        <w:spacing w:line="360" w:lineRule="auto"/>
      </w:pPr>
      <w:r w:rsidRPr="000A2B10">
        <w:rPr>
          <w:b/>
          <w:bCs/>
        </w:rPr>
        <w:t>Maximale Teilnehmeranzahl:</w:t>
      </w:r>
      <w:r w:rsidRPr="00721980">
        <w:t xml:space="preserve"> </w:t>
      </w:r>
      <w:r w:rsidR="00512928">
        <w:t>10</w:t>
      </w:r>
      <w:r w:rsidRPr="00721980">
        <w:t>0</w:t>
      </w:r>
    </w:p>
    <w:p w14:paraId="40DF66A5" w14:textId="557193B1" w:rsidR="000A2B10" w:rsidRDefault="000A2B10" w:rsidP="00512928">
      <w:pPr>
        <w:spacing w:line="360" w:lineRule="auto"/>
      </w:pPr>
      <w:r w:rsidRPr="000A2B10">
        <w:rPr>
          <w:b/>
          <w:bCs/>
        </w:rPr>
        <w:t>Voranmeldung bitte auf folgender Seite:</w:t>
      </w:r>
      <w:r w:rsidRPr="00721980">
        <w:t xml:space="preserve"> </w:t>
      </w:r>
      <w:hyperlink r:id="rId8" w:history="1">
        <w:r w:rsidRPr="00721980">
          <w:rPr>
            <w:rStyle w:val="Hyperlink"/>
          </w:rPr>
          <w:t>KJEM SPU 2025 – Turnierseite</w:t>
        </w:r>
      </w:hyperlink>
    </w:p>
    <w:p w14:paraId="7DC63972" w14:textId="77777777" w:rsidR="00512928" w:rsidRDefault="000A2B10" w:rsidP="00512928">
      <w:pPr>
        <w:spacing w:after="160"/>
        <w:rPr>
          <w:color w:val="000000"/>
        </w:rPr>
      </w:pPr>
      <w:r w:rsidRPr="000A2B10">
        <w:rPr>
          <w:b/>
          <w:bCs/>
        </w:rPr>
        <w:t>Anwesenheitsprüfung</w:t>
      </w:r>
      <w:r w:rsidRPr="000A2B10">
        <w:rPr>
          <w:rFonts w:ascii="Calibri" w:hAnsi="Calibri" w:cs="F"/>
          <w:b/>
          <w:sz w:val="22"/>
          <w:szCs w:val="22"/>
          <w:lang w:eastAsia="en-US" w:bidi="ar-SA"/>
        </w:rPr>
        <w:t>:</w:t>
      </w:r>
      <w:r w:rsidRPr="000A2B10">
        <w:rPr>
          <w:rFonts w:ascii="Calibri" w:hAnsi="Calibri" w:cs="F"/>
          <w:sz w:val="22"/>
          <w:szCs w:val="22"/>
          <w:lang w:eastAsia="en-US" w:bidi="ar-SA"/>
        </w:rPr>
        <w:t xml:space="preserve"> </w:t>
      </w:r>
      <w:r w:rsidRPr="000A2B10">
        <w:rPr>
          <w:color w:val="000000"/>
        </w:rPr>
        <w:t>Am Turniertag 9:</w:t>
      </w:r>
      <w:r>
        <w:rPr>
          <w:color w:val="000000"/>
        </w:rPr>
        <w:t>3</w:t>
      </w:r>
      <w:r w:rsidRPr="000A2B10">
        <w:rPr>
          <w:color w:val="000000"/>
        </w:rPr>
        <w:t>0 Uhr (auch vorangemeldete Spieler!)</w:t>
      </w:r>
    </w:p>
    <w:p w14:paraId="611A8822" w14:textId="151C67C9" w:rsidR="000A2B10" w:rsidRPr="000A2B10" w:rsidRDefault="000A2B10" w:rsidP="00512928">
      <w:pPr>
        <w:spacing w:after="160"/>
        <w:rPr>
          <w:color w:val="000000"/>
        </w:rPr>
      </w:pPr>
      <w:r w:rsidRPr="000A2B10">
        <w:rPr>
          <w:b/>
          <w:bCs/>
        </w:rPr>
        <w:t>Turniermodus</w:t>
      </w:r>
      <w:r w:rsidRPr="000A2B10">
        <w:rPr>
          <w:rFonts w:ascii="Calibri" w:hAnsi="Calibri" w:cs="F"/>
          <w:b/>
          <w:sz w:val="22"/>
          <w:szCs w:val="22"/>
          <w:lang w:eastAsia="en-US" w:bidi="ar-SA"/>
        </w:rPr>
        <w:t>:</w:t>
      </w:r>
      <w:r w:rsidRPr="000A2B10">
        <w:rPr>
          <w:rFonts w:ascii="Calibri" w:hAnsi="Calibri" w:cs="F"/>
          <w:sz w:val="22"/>
          <w:szCs w:val="22"/>
          <w:lang w:eastAsia="en-US" w:bidi="ar-SA"/>
        </w:rPr>
        <w:t xml:space="preserve"> </w:t>
      </w:r>
      <w:r w:rsidRPr="000A2B10">
        <w:rPr>
          <w:color w:val="000000"/>
        </w:rPr>
        <w:t>7 Runden Schweizer System (</w:t>
      </w:r>
      <w:proofErr w:type="gramStart"/>
      <w:r w:rsidRPr="000A2B10">
        <w:rPr>
          <w:color w:val="000000"/>
        </w:rPr>
        <w:t>USJ Turnierordnung</w:t>
      </w:r>
      <w:proofErr w:type="gramEnd"/>
      <w:r w:rsidRPr="000A2B10">
        <w:rPr>
          <w:color w:val="000000"/>
        </w:rPr>
        <w:t xml:space="preserve"> §2.5)</w:t>
      </w:r>
    </w:p>
    <w:p w14:paraId="51E572C4" w14:textId="77777777" w:rsidR="000A2B10" w:rsidRPr="000A2B10" w:rsidRDefault="000A2B10" w:rsidP="00512928">
      <w:pPr>
        <w:spacing w:after="160"/>
        <w:rPr>
          <w:rFonts w:ascii="Calibri" w:hAnsi="Calibri" w:cs="F"/>
          <w:sz w:val="22"/>
          <w:szCs w:val="22"/>
          <w:lang w:eastAsia="en-US" w:bidi="ar-SA"/>
        </w:rPr>
      </w:pPr>
      <w:r w:rsidRPr="000A2B10">
        <w:rPr>
          <w:b/>
          <w:bCs/>
        </w:rPr>
        <w:t>Bedenkzeit</w:t>
      </w:r>
      <w:r w:rsidRPr="000A2B10">
        <w:rPr>
          <w:rFonts w:ascii="Calibri" w:hAnsi="Calibri" w:cs="F"/>
          <w:b/>
          <w:sz w:val="22"/>
          <w:szCs w:val="22"/>
          <w:lang w:eastAsia="en-US" w:bidi="ar-SA"/>
        </w:rPr>
        <w:t>:</w:t>
      </w:r>
      <w:r w:rsidRPr="000A2B10">
        <w:rPr>
          <w:rFonts w:ascii="Calibri" w:hAnsi="Calibri" w:cs="F"/>
          <w:sz w:val="22"/>
          <w:szCs w:val="22"/>
          <w:lang w:eastAsia="en-US" w:bidi="ar-SA"/>
        </w:rPr>
        <w:t xml:space="preserve"> </w:t>
      </w:r>
      <w:r w:rsidRPr="000A2B10">
        <w:rPr>
          <w:color w:val="000000"/>
        </w:rPr>
        <w:t>Schnellschach mit 15 Minuten pro Spieler + 5 Sekunden Inkrement pro Zug</w:t>
      </w:r>
    </w:p>
    <w:p w14:paraId="6B896395" w14:textId="3006D3F7" w:rsidR="000A2B10" w:rsidRPr="000A2B10" w:rsidRDefault="000A2B10" w:rsidP="000A2B10">
      <w:pPr>
        <w:spacing w:after="160"/>
        <w:rPr>
          <w:color w:val="000000"/>
        </w:rPr>
      </w:pPr>
      <w:r w:rsidRPr="000A2B10">
        <w:rPr>
          <w:b/>
          <w:bCs/>
        </w:rPr>
        <w:t>Siegerehrung</w:t>
      </w:r>
      <w:r w:rsidRPr="000A2B10">
        <w:rPr>
          <w:rFonts w:ascii="Calibri" w:hAnsi="Calibri" w:cs="F"/>
          <w:b/>
          <w:sz w:val="22"/>
          <w:szCs w:val="22"/>
          <w:lang w:eastAsia="en-US" w:bidi="ar-SA"/>
        </w:rPr>
        <w:t>:</w:t>
      </w:r>
      <w:r w:rsidRPr="000A2B10">
        <w:rPr>
          <w:rFonts w:ascii="Calibri" w:hAnsi="Calibri" w:cs="F"/>
          <w:sz w:val="22"/>
          <w:szCs w:val="22"/>
          <w:lang w:eastAsia="en-US" w:bidi="ar-SA"/>
        </w:rPr>
        <w:t xml:space="preserve"> </w:t>
      </w:r>
      <w:r w:rsidRPr="000A2B10">
        <w:rPr>
          <w:color w:val="000000"/>
        </w:rPr>
        <w:t xml:space="preserve">ca. 16:30 Uhr. Ab mehr als 5 Teilnehmende, pro Spielklasse, Pokale für die </w:t>
      </w:r>
      <w:r>
        <w:rPr>
          <w:color w:val="000000"/>
        </w:rPr>
        <w:t>drei</w:t>
      </w:r>
      <w:r w:rsidRPr="000A2B10">
        <w:rPr>
          <w:color w:val="000000"/>
        </w:rPr>
        <w:t xml:space="preserve"> Erstplatzierten. Ansonsten Pokal für die Sieger + Medaille für Zweit- und Drittplatzierte. Keine Doppelpokale (Mädchen werden separat gewertet, es sei denn sie geben im Vorfeld an in der Gesamtklasse anzutreten). Urkunden und Sachpreise für alle Teilnehmende.</w:t>
      </w:r>
    </w:p>
    <w:p w14:paraId="3610A93B" w14:textId="77777777" w:rsidR="007F41EB" w:rsidRDefault="007F41EB" w:rsidP="007F41EB">
      <w:pPr>
        <w:rPr>
          <w:b/>
        </w:rPr>
      </w:pPr>
      <w:r>
        <w:rPr>
          <w:b/>
        </w:rPr>
        <w:t>Altersklassen (nach Jahrgängen):</w:t>
      </w:r>
    </w:p>
    <w:p w14:paraId="54F7885D" w14:textId="77777777" w:rsidR="00721980" w:rsidRDefault="00721980" w:rsidP="007F41EB">
      <w:pPr>
        <w:rPr>
          <w:rFonts w:hint="eastAsia"/>
          <w:b/>
        </w:rPr>
      </w:pPr>
    </w:p>
    <w:tbl>
      <w:tblPr>
        <w:tblW w:w="9062" w:type="dxa"/>
        <w:tblCellMar>
          <w:left w:w="10" w:type="dxa"/>
          <w:right w:w="10" w:type="dxa"/>
        </w:tblCellMar>
        <w:tblLook w:val="04A0" w:firstRow="1" w:lastRow="0" w:firstColumn="1" w:lastColumn="0" w:noHBand="0" w:noVBand="1"/>
      </w:tblPr>
      <w:tblGrid>
        <w:gridCol w:w="1129"/>
        <w:gridCol w:w="1178"/>
        <w:gridCol w:w="1198"/>
        <w:gridCol w:w="1198"/>
        <w:gridCol w:w="1198"/>
        <w:gridCol w:w="1465"/>
        <w:gridCol w:w="1696"/>
      </w:tblGrid>
      <w:tr w:rsidR="007F41EB" w14:paraId="6637ECD6" w14:textId="77777777" w:rsidTr="00E70CD8">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919B8" w14:textId="77777777" w:rsidR="007F41EB" w:rsidRDefault="007F41EB" w:rsidP="00E70CD8">
            <w:pPr>
              <w:jc w:val="center"/>
              <w:rPr>
                <w:rFonts w:hint="eastAsia"/>
                <w:b/>
                <w:sz w:val="21"/>
                <w:szCs w:val="21"/>
              </w:rPr>
            </w:pPr>
            <w:r>
              <w:rPr>
                <w:b/>
                <w:sz w:val="21"/>
                <w:szCs w:val="21"/>
              </w:rPr>
              <w:t>U25 offen</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C8728" w14:textId="77777777" w:rsidR="007F41EB" w:rsidRDefault="007F41EB" w:rsidP="00E70CD8">
            <w:pPr>
              <w:jc w:val="center"/>
              <w:rPr>
                <w:rFonts w:hint="eastAsia"/>
                <w:b/>
                <w:sz w:val="21"/>
                <w:szCs w:val="21"/>
              </w:rPr>
            </w:pPr>
            <w:r>
              <w:rPr>
                <w:b/>
                <w:sz w:val="21"/>
                <w:szCs w:val="21"/>
              </w:rPr>
              <w:t>U18</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9BECE" w14:textId="77777777" w:rsidR="007F41EB" w:rsidRDefault="007F41EB" w:rsidP="00E70CD8">
            <w:pPr>
              <w:jc w:val="center"/>
              <w:rPr>
                <w:rFonts w:hint="eastAsia"/>
                <w:b/>
                <w:sz w:val="21"/>
                <w:szCs w:val="21"/>
              </w:rPr>
            </w:pPr>
            <w:r>
              <w:rPr>
                <w:b/>
                <w:sz w:val="21"/>
                <w:szCs w:val="21"/>
              </w:rPr>
              <w:t>U16</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9C44C" w14:textId="77777777" w:rsidR="007F41EB" w:rsidRDefault="007F41EB" w:rsidP="00E70CD8">
            <w:pPr>
              <w:jc w:val="center"/>
              <w:rPr>
                <w:rFonts w:hint="eastAsia"/>
                <w:b/>
                <w:sz w:val="21"/>
                <w:szCs w:val="21"/>
              </w:rPr>
            </w:pPr>
            <w:r>
              <w:rPr>
                <w:b/>
                <w:sz w:val="21"/>
                <w:szCs w:val="21"/>
              </w:rPr>
              <w:t>U14</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C665C" w14:textId="77777777" w:rsidR="007F41EB" w:rsidRDefault="007F41EB" w:rsidP="00E70CD8">
            <w:pPr>
              <w:jc w:val="center"/>
              <w:rPr>
                <w:rFonts w:hint="eastAsia"/>
                <w:b/>
                <w:sz w:val="21"/>
                <w:szCs w:val="21"/>
              </w:rPr>
            </w:pPr>
            <w:r>
              <w:rPr>
                <w:b/>
                <w:sz w:val="21"/>
                <w:szCs w:val="21"/>
              </w:rPr>
              <w:t>U12</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FAD97" w14:textId="77777777" w:rsidR="007F41EB" w:rsidRDefault="007F41EB" w:rsidP="00E70CD8">
            <w:pPr>
              <w:jc w:val="center"/>
              <w:rPr>
                <w:rFonts w:hint="eastAsia"/>
                <w:b/>
                <w:sz w:val="21"/>
                <w:szCs w:val="21"/>
              </w:rPr>
            </w:pPr>
            <w:r>
              <w:rPr>
                <w:b/>
                <w:sz w:val="21"/>
                <w:szCs w:val="21"/>
              </w:rPr>
              <w:t>U10</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34F59" w14:textId="77777777" w:rsidR="007F41EB" w:rsidRDefault="007F41EB" w:rsidP="00E70CD8">
            <w:pPr>
              <w:jc w:val="center"/>
              <w:rPr>
                <w:rFonts w:hint="eastAsia"/>
                <w:b/>
                <w:sz w:val="21"/>
                <w:szCs w:val="21"/>
              </w:rPr>
            </w:pPr>
            <w:r>
              <w:rPr>
                <w:b/>
                <w:sz w:val="21"/>
                <w:szCs w:val="21"/>
              </w:rPr>
              <w:t>U8</w:t>
            </w:r>
          </w:p>
        </w:tc>
      </w:tr>
      <w:tr w:rsidR="007F41EB" w14:paraId="3D35D8DE" w14:textId="77777777" w:rsidTr="00E70CD8">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5AFFA" w14:textId="77777777" w:rsidR="007F41EB" w:rsidRDefault="007F41EB" w:rsidP="00E70CD8">
            <w:pPr>
              <w:jc w:val="center"/>
              <w:rPr>
                <w:rFonts w:hint="eastAsia"/>
                <w:b/>
                <w:sz w:val="21"/>
                <w:szCs w:val="21"/>
              </w:rPr>
            </w:pPr>
            <w:r>
              <w:rPr>
                <w:b/>
                <w:sz w:val="21"/>
                <w:szCs w:val="21"/>
              </w:rPr>
              <w:t xml:space="preserve">2001 bis </w:t>
            </w:r>
          </w:p>
          <w:p w14:paraId="45BCC251" w14:textId="77777777" w:rsidR="007F41EB" w:rsidRDefault="007F41EB" w:rsidP="00E70CD8">
            <w:pPr>
              <w:jc w:val="center"/>
              <w:rPr>
                <w:rFonts w:hint="eastAsia"/>
                <w:b/>
                <w:sz w:val="21"/>
                <w:szCs w:val="21"/>
              </w:rPr>
            </w:pPr>
            <w:r>
              <w:rPr>
                <w:b/>
                <w:sz w:val="21"/>
                <w:szCs w:val="21"/>
              </w:rPr>
              <w:t>2007</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7759D" w14:textId="77777777" w:rsidR="007F41EB" w:rsidRDefault="007F41EB" w:rsidP="00E70CD8">
            <w:pPr>
              <w:jc w:val="center"/>
              <w:rPr>
                <w:rFonts w:hint="eastAsia"/>
                <w:b/>
                <w:sz w:val="21"/>
                <w:szCs w:val="21"/>
              </w:rPr>
            </w:pPr>
            <w:r>
              <w:rPr>
                <w:b/>
                <w:sz w:val="21"/>
                <w:szCs w:val="21"/>
              </w:rPr>
              <w:t>2008 und</w:t>
            </w:r>
          </w:p>
          <w:p w14:paraId="02E80039" w14:textId="77777777" w:rsidR="007F41EB" w:rsidRDefault="007F41EB" w:rsidP="00E70CD8">
            <w:pPr>
              <w:jc w:val="center"/>
              <w:rPr>
                <w:rFonts w:hint="eastAsia"/>
                <w:b/>
                <w:sz w:val="21"/>
                <w:szCs w:val="21"/>
              </w:rPr>
            </w:pPr>
            <w:r>
              <w:rPr>
                <w:b/>
                <w:sz w:val="21"/>
                <w:szCs w:val="21"/>
              </w:rPr>
              <w:t>2009</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D4BAC" w14:textId="77777777" w:rsidR="007F41EB" w:rsidRDefault="007F41EB" w:rsidP="00E70CD8">
            <w:pPr>
              <w:jc w:val="center"/>
              <w:rPr>
                <w:rFonts w:hint="eastAsia"/>
                <w:b/>
                <w:sz w:val="21"/>
                <w:szCs w:val="21"/>
              </w:rPr>
            </w:pPr>
            <w:r>
              <w:rPr>
                <w:b/>
                <w:sz w:val="21"/>
                <w:szCs w:val="21"/>
              </w:rPr>
              <w:t xml:space="preserve">2010 und </w:t>
            </w:r>
          </w:p>
          <w:p w14:paraId="2B2CCB79" w14:textId="77777777" w:rsidR="007F41EB" w:rsidRDefault="007F41EB" w:rsidP="00E70CD8">
            <w:pPr>
              <w:jc w:val="center"/>
              <w:rPr>
                <w:rFonts w:hint="eastAsia"/>
                <w:b/>
                <w:sz w:val="21"/>
                <w:szCs w:val="21"/>
              </w:rPr>
            </w:pPr>
            <w:r>
              <w:rPr>
                <w:b/>
                <w:sz w:val="21"/>
                <w:szCs w:val="21"/>
              </w:rPr>
              <w:t>2011</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69E19" w14:textId="77777777" w:rsidR="007F41EB" w:rsidRDefault="007F41EB" w:rsidP="00E70CD8">
            <w:pPr>
              <w:jc w:val="center"/>
              <w:rPr>
                <w:rFonts w:hint="eastAsia"/>
                <w:b/>
                <w:sz w:val="21"/>
                <w:szCs w:val="21"/>
              </w:rPr>
            </w:pPr>
            <w:r>
              <w:rPr>
                <w:b/>
                <w:sz w:val="21"/>
                <w:szCs w:val="21"/>
              </w:rPr>
              <w:t xml:space="preserve">2012 und </w:t>
            </w:r>
          </w:p>
          <w:p w14:paraId="776C074F" w14:textId="77777777" w:rsidR="007F41EB" w:rsidRDefault="007F41EB" w:rsidP="00E70CD8">
            <w:pPr>
              <w:jc w:val="center"/>
              <w:rPr>
                <w:rFonts w:hint="eastAsia"/>
                <w:b/>
                <w:sz w:val="21"/>
                <w:szCs w:val="21"/>
              </w:rPr>
            </w:pPr>
            <w:r>
              <w:rPr>
                <w:b/>
                <w:sz w:val="21"/>
                <w:szCs w:val="21"/>
              </w:rPr>
              <w:t>2013</w:t>
            </w:r>
          </w:p>
        </w:tc>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16700" w14:textId="77777777" w:rsidR="007F41EB" w:rsidRDefault="007F41EB" w:rsidP="00E70CD8">
            <w:pPr>
              <w:jc w:val="center"/>
              <w:rPr>
                <w:rFonts w:hint="eastAsia"/>
                <w:b/>
                <w:sz w:val="21"/>
                <w:szCs w:val="21"/>
              </w:rPr>
            </w:pPr>
            <w:r>
              <w:rPr>
                <w:b/>
                <w:sz w:val="21"/>
                <w:szCs w:val="21"/>
              </w:rPr>
              <w:t xml:space="preserve">2014 und </w:t>
            </w:r>
          </w:p>
          <w:p w14:paraId="61B923DE" w14:textId="77777777" w:rsidR="007F41EB" w:rsidRDefault="007F41EB" w:rsidP="00E70CD8">
            <w:pPr>
              <w:jc w:val="center"/>
              <w:rPr>
                <w:rFonts w:hint="eastAsia"/>
                <w:b/>
                <w:sz w:val="21"/>
                <w:szCs w:val="21"/>
              </w:rPr>
            </w:pPr>
            <w:r>
              <w:rPr>
                <w:b/>
                <w:sz w:val="21"/>
                <w:szCs w:val="21"/>
              </w:rPr>
              <w:t>2015</w:t>
            </w:r>
          </w:p>
        </w:tc>
        <w:tc>
          <w:tcPr>
            <w:tcW w:w="1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1F6AF" w14:textId="77777777" w:rsidR="007F41EB" w:rsidRDefault="007F41EB" w:rsidP="00E70CD8">
            <w:pPr>
              <w:jc w:val="center"/>
              <w:rPr>
                <w:rFonts w:hint="eastAsia"/>
                <w:b/>
                <w:sz w:val="21"/>
                <w:szCs w:val="21"/>
              </w:rPr>
            </w:pPr>
            <w:r>
              <w:rPr>
                <w:b/>
                <w:sz w:val="21"/>
                <w:szCs w:val="21"/>
              </w:rPr>
              <w:t xml:space="preserve">2016 und </w:t>
            </w:r>
          </w:p>
          <w:p w14:paraId="5E8154CA" w14:textId="77777777" w:rsidR="007F41EB" w:rsidRDefault="007F41EB" w:rsidP="00E70CD8">
            <w:pPr>
              <w:jc w:val="center"/>
              <w:rPr>
                <w:rFonts w:hint="eastAsia"/>
                <w:b/>
                <w:sz w:val="21"/>
                <w:szCs w:val="21"/>
              </w:rPr>
            </w:pPr>
            <w:r>
              <w:rPr>
                <w:b/>
                <w:sz w:val="21"/>
                <w:szCs w:val="21"/>
              </w:rPr>
              <w:t>2017</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EB296" w14:textId="77777777" w:rsidR="007F41EB" w:rsidRDefault="007F41EB" w:rsidP="00E70CD8">
            <w:pPr>
              <w:jc w:val="center"/>
              <w:rPr>
                <w:rFonts w:hint="eastAsia"/>
                <w:b/>
                <w:sz w:val="21"/>
                <w:szCs w:val="21"/>
              </w:rPr>
            </w:pPr>
            <w:r>
              <w:rPr>
                <w:b/>
                <w:sz w:val="21"/>
                <w:szCs w:val="21"/>
              </w:rPr>
              <w:t>2018 und jünger</w:t>
            </w:r>
          </w:p>
        </w:tc>
      </w:tr>
    </w:tbl>
    <w:p w14:paraId="0113A762" w14:textId="77777777" w:rsidR="00721980" w:rsidRPr="00721980" w:rsidRDefault="00721980" w:rsidP="00721980">
      <w:pPr>
        <w:spacing w:after="160" w:line="242" w:lineRule="auto"/>
        <w:jc w:val="both"/>
        <w:rPr>
          <w:rFonts w:ascii="Calibri" w:hAnsi="Calibri" w:cs="F"/>
          <w:sz w:val="22"/>
          <w:szCs w:val="22"/>
          <w:lang w:eastAsia="en-US" w:bidi="ar-SA"/>
        </w:rPr>
      </w:pPr>
      <w:r w:rsidRPr="00721980">
        <w:rPr>
          <w:rFonts w:ascii="Calibri" w:hAnsi="Calibri" w:cs="F"/>
          <w:sz w:val="22"/>
          <w:szCs w:val="22"/>
          <w:lang w:eastAsia="en-US" w:bidi="ar-SA"/>
        </w:rPr>
        <w:t>Je nach Teilnehmerzahlen behält der Veranstalter sich vor, Altersklassen zusammenzulegen oder weniger Runden auszuspielen. Die Paarungsbildung und Auswertung erfolgt gemäß der Jugendturnierordnung der USJ.</w:t>
      </w:r>
    </w:p>
    <w:p w14:paraId="6A090CE0" w14:textId="77777777" w:rsidR="00721980" w:rsidRPr="00721980" w:rsidRDefault="00721980" w:rsidP="00721980">
      <w:pPr>
        <w:spacing w:after="160" w:line="242" w:lineRule="auto"/>
        <w:jc w:val="both"/>
        <w:rPr>
          <w:rFonts w:ascii="Calibri" w:hAnsi="Calibri" w:cs="F"/>
          <w:sz w:val="22"/>
          <w:szCs w:val="22"/>
          <w:lang w:eastAsia="en-US" w:bidi="ar-SA"/>
        </w:rPr>
      </w:pPr>
      <w:r w:rsidRPr="00721980">
        <w:rPr>
          <w:rFonts w:ascii="Calibri" w:hAnsi="Calibri" w:cs="F"/>
          <w:sz w:val="22"/>
          <w:szCs w:val="22"/>
          <w:lang w:eastAsia="en-US" w:bidi="ar-SA"/>
        </w:rPr>
        <w:t>Die Erstplatzierten der Altersgruppen qualifizieren sich für die Unterfränkische Jugend-Einzelmeisterschaft vom 02.01. bis 05.01.2026 im Heiligenhof Bad Kissingen. Weitere Qualifikationsplätze werden anteilig der Teilnehmerzahlen in den Kreisen vergeben. Bereits Vorqualifizierte werden bei dieser Vergabe nicht betrachtet. Die offene U25 wird ohne Qualifizierungsplätze ausgespielt.</w:t>
      </w:r>
    </w:p>
    <w:p w14:paraId="3606CDF8" w14:textId="26C9F467" w:rsidR="004C6CB8" w:rsidRDefault="00721980" w:rsidP="00721980">
      <w:pPr>
        <w:rPr>
          <w:rFonts w:ascii="Calibri" w:hAnsi="Calibri" w:cs="F"/>
          <w:sz w:val="22"/>
          <w:szCs w:val="22"/>
          <w:lang w:eastAsia="en-US" w:bidi="ar-SA"/>
        </w:rPr>
      </w:pPr>
      <w:r w:rsidRPr="00721980">
        <w:rPr>
          <w:rFonts w:ascii="Calibri" w:hAnsi="Calibri" w:cs="F"/>
          <w:sz w:val="22"/>
          <w:szCs w:val="22"/>
          <w:lang w:eastAsia="en-US" w:bidi="ar-SA"/>
        </w:rPr>
        <w:t>Teilnehmen können alle Jugendlichen aus dem Spielkreis Spessart-Untermain – für eine Qualifikation ist</w:t>
      </w:r>
      <w:r>
        <w:rPr>
          <w:rFonts w:ascii="Calibri" w:hAnsi="Calibri" w:cs="F"/>
          <w:sz w:val="22"/>
          <w:szCs w:val="22"/>
          <w:lang w:eastAsia="en-US" w:bidi="ar-SA"/>
        </w:rPr>
        <w:t xml:space="preserve"> </w:t>
      </w:r>
      <w:r w:rsidRPr="00721980">
        <w:rPr>
          <w:rFonts w:ascii="Calibri" w:hAnsi="Calibri" w:cs="F"/>
          <w:sz w:val="22"/>
          <w:szCs w:val="22"/>
          <w:lang w:eastAsia="en-US" w:bidi="ar-SA"/>
        </w:rPr>
        <w:t xml:space="preserve">eine Spielberechtigung im USV </w:t>
      </w:r>
      <w:proofErr w:type="spellStart"/>
      <w:r w:rsidRPr="00721980">
        <w:rPr>
          <w:rFonts w:ascii="Calibri" w:hAnsi="Calibri" w:cs="F"/>
          <w:sz w:val="22"/>
          <w:szCs w:val="22"/>
          <w:lang w:eastAsia="en-US" w:bidi="ar-SA"/>
        </w:rPr>
        <w:t>e.V</w:t>
      </w:r>
      <w:proofErr w:type="spellEnd"/>
      <w:r w:rsidRPr="00721980">
        <w:rPr>
          <w:rFonts w:ascii="Calibri" w:hAnsi="Calibri" w:cs="F"/>
          <w:sz w:val="22"/>
          <w:szCs w:val="22"/>
          <w:lang w:eastAsia="en-US" w:bidi="ar-SA"/>
        </w:rPr>
        <w:t xml:space="preserve"> nötig (USJ TO §3.3).</w:t>
      </w:r>
    </w:p>
    <w:p w14:paraId="235E5D3F" w14:textId="77777777" w:rsidR="00512928" w:rsidRDefault="00512928" w:rsidP="00512928">
      <w:pPr>
        <w:spacing w:after="160" w:line="242" w:lineRule="auto"/>
        <w:rPr>
          <w:rFonts w:ascii="Calibri" w:hAnsi="Calibri" w:cs="F"/>
          <w:b/>
          <w:sz w:val="22"/>
          <w:szCs w:val="22"/>
          <w:lang w:eastAsia="en-US" w:bidi="ar-SA"/>
        </w:rPr>
      </w:pPr>
    </w:p>
    <w:p w14:paraId="63D6ABBC" w14:textId="075AEDFE" w:rsidR="00512928" w:rsidRPr="00512928" w:rsidRDefault="00512928" w:rsidP="00512928">
      <w:pPr>
        <w:spacing w:after="160" w:line="242" w:lineRule="auto"/>
        <w:rPr>
          <w:rFonts w:ascii="Calibri" w:hAnsi="Calibri" w:cs="F"/>
          <w:sz w:val="22"/>
          <w:szCs w:val="22"/>
          <w:lang w:eastAsia="en-US" w:bidi="ar-SA"/>
        </w:rPr>
      </w:pPr>
      <w:r w:rsidRPr="00512928">
        <w:rPr>
          <w:rFonts w:ascii="Calibri" w:hAnsi="Calibri" w:cs="F"/>
          <w:b/>
          <w:sz w:val="22"/>
          <w:szCs w:val="22"/>
          <w:lang w:eastAsia="en-US" w:bidi="ar-SA"/>
        </w:rPr>
        <w:t>Jürgen Wambach</w:t>
      </w:r>
      <w:r w:rsidRPr="00512928">
        <w:rPr>
          <w:rFonts w:ascii="Calibri" w:hAnsi="Calibri" w:cs="F"/>
          <w:sz w:val="22"/>
          <w:szCs w:val="22"/>
          <w:lang w:eastAsia="en-US" w:bidi="ar-SA"/>
        </w:rPr>
        <w:t xml:space="preserve"> </w:t>
      </w:r>
      <w:r w:rsidRPr="00512928">
        <w:rPr>
          <w:rFonts w:ascii="Calibri" w:hAnsi="Calibri" w:cs="F"/>
          <w:sz w:val="22"/>
          <w:szCs w:val="22"/>
          <w:lang w:eastAsia="en-US" w:bidi="ar-SA"/>
        </w:rPr>
        <w:tab/>
      </w:r>
      <w:r w:rsidRPr="00512928">
        <w:rPr>
          <w:rFonts w:ascii="Calibri" w:hAnsi="Calibri" w:cs="F"/>
          <w:sz w:val="22"/>
          <w:szCs w:val="22"/>
          <w:lang w:eastAsia="en-US" w:bidi="ar-SA"/>
        </w:rPr>
        <w:tab/>
      </w:r>
      <w:r w:rsidRPr="00512928">
        <w:rPr>
          <w:rFonts w:ascii="Calibri" w:hAnsi="Calibri" w:cs="F"/>
          <w:sz w:val="22"/>
          <w:szCs w:val="22"/>
          <w:lang w:eastAsia="en-US" w:bidi="ar-SA"/>
        </w:rPr>
        <w:tab/>
      </w:r>
      <w:r w:rsidRPr="00512928">
        <w:rPr>
          <w:rFonts w:ascii="Calibri" w:hAnsi="Calibri" w:cs="F"/>
          <w:sz w:val="22"/>
          <w:szCs w:val="22"/>
          <w:lang w:eastAsia="en-US" w:bidi="ar-SA"/>
        </w:rPr>
        <w:tab/>
      </w:r>
      <w:r w:rsidRPr="00512928">
        <w:rPr>
          <w:rFonts w:ascii="Calibri" w:hAnsi="Calibri" w:cs="F"/>
          <w:sz w:val="22"/>
          <w:szCs w:val="22"/>
          <w:lang w:eastAsia="en-US" w:bidi="ar-SA"/>
        </w:rPr>
        <w:tab/>
      </w:r>
      <w:r w:rsidRPr="00512928">
        <w:rPr>
          <w:rFonts w:ascii="Calibri" w:hAnsi="Calibri" w:cs="F"/>
          <w:sz w:val="22"/>
          <w:szCs w:val="22"/>
          <w:lang w:eastAsia="en-US" w:bidi="ar-SA"/>
        </w:rPr>
        <w:tab/>
      </w:r>
      <w:r>
        <w:rPr>
          <w:rFonts w:ascii="Calibri" w:hAnsi="Calibri" w:cs="F"/>
          <w:b/>
          <w:sz w:val="22"/>
          <w:szCs w:val="22"/>
          <w:lang w:eastAsia="en-US" w:bidi="ar-SA"/>
        </w:rPr>
        <w:t>Alexander Heeg</w:t>
      </w:r>
    </w:p>
    <w:p w14:paraId="3D874668" w14:textId="2FCECB9A" w:rsidR="00512928" w:rsidRPr="00512928" w:rsidRDefault="00512928" w:rsidP="00512928">
      <w:pPr>
        <w:spacing w:after="160" w:line="242" w:lineRule="auto"/>
        <w:rPr>
          <w:rFonts w:ascii="Calibri" w:hAnsi="Calibri" w:cs="F"/>
          <w:sz w:val="22"/>
          <w:szCs w:val="22"/>
          <w:lang w:eastAsia="en-US" w:bidi="ar-SA"/>
        </w:rPr>
      </w:pPr>
      <w:r w:rsidRPr="00512928">
        <w:rPr>
          <w:rFonts w:ascii="Calibri" w:hAnsi="Calibri" w:cs="F"/>
          <w:sz w:val="22"/>
          <w:szCs w:val="22"/>
          <w:lang w:eastAsia="en-US" w:bidi="ar-SA"/>
        </w:rPr>
        <w:t>Kreisjugendleiter Spessart-Untermain</w:t>
      </w:r>
      <w:r w:rsidRPr="00512928">
        <w:rPr>
          <w:rFonts w:ascii="Calibri" w:hAnsi="Calibri" w:cs="F"/>
          <w:sz w:val="22"/>
          <w:szCs w:val="22"/>
          <w:lang w:eastAsia="en-US" w:bidi="ar-SA"/>
        </w:rPr>
        <w:tab/>
      </w:r>
      <w:r w:rsidRPr="00512928">
        <w:rPr>
          <w:rFonts w:ascii="Calibri" w:hAnsi="Calibri" w:cs="F"/>
          <w:sz w:val="22"/>
          <w:szCs w:val="22"/>
          <w:lang w:eastAsia="en-US" w:bidi="ar-SA"/>
        </w:rPr>
        <w:tab/>
      </w:r>
      <w:r w:rsidRPr="00512928">
        <w:rPr>
          <w:rFonts w:ascii="Calibri" w:hAnsi="Calibri" w:cs="F"/>
          <w:sz w:val="22"/>
          <w:szCs w:val="22"/>
          <w:lang w:eastAsia="en-US" w:bidi="ar-SA"/>
        </w:rPr>
        <w:tab/>
      </w:r>
      <w:r w:rsidRPr="00512928">
        <w:rPr>
          <w:rFonts w:ascii="Calibri" w:hAnsi="Calibri" w:cs="F"/>
          <w:sz w:val="22"/>
          <w:szCs w:val="22"/>
          <w:lang w:eastAsia="en-US" w:bidi="ar-SA"/>
        </w:rPr>
        <w:tab/>
      </w:r>
      <w:r>
        <w:rPr>
          <w:rFonts w:ascii="Calibri" w:hAnsi="Calibri" w:cs="F"/>
          <w:sz w:val="22"/>
          <w:szCs w:val="22"/>
          <w:lang w:eastAsia="en-US" w:bidi="ar-SA"/>
        </w:rPr>
        <w:t>Vorstand</w:t>
      </w:r>
      <w:r w:rsidRPr="00512928">
        <w:rPr>
          <w:rFonts w:ascii="Calibri" w:hAnsi="Calibri" w:cs="F"/>
          <w:sz w:val="22"/>
          <w:szCs w:val="22"/>
          <w:lang w:eastAsia="en-US" w:bidi="ar-SA"/>
        </w:rPr>
        <w:t xml:space="preserve"> Schachfreunde </w:t>
      </w:r>
      <w:r>
        <w:rPr>
          <w:rFonts w:ascii="Calibri" w:hAnsi="Calibri" w:cs="F"/>
          <w:sz w:val="22"/>
          <w:szCs w:val="22"/>
          <w:lang w:eastAsia="en-US" w:bidi="ar-SA"/>
        </w:rPr>
        <w:t xml:space="preserve">1967 </w:t>
      </w:r>
      <w:r w:rsidRPr="00512928">
        <w:rPr>
          <w:rFonts w:ascii="Calibri" w:hAnsi="Calibri" w:cs="F"/>
          <w:sz w:val="22"/>
          <w:szCs w:val="22"/>
          <w:lang w:eastAsia="en-US" w:bidi="ar-SA"/>
        </w:rPr>
        <w:t>Sailauf</w:t>
      </w:r>
      <w:r>
        <w:rPr>
          <w:rFonts w:ascii="Calibri" w:hAnsi="Calibri" w:cs="F"/>
          <w:sz w:val="22"/>
          <w:szCs w:val="22"/>
          <w:lang w:eastAsia="en-US" w:bidi="ar-SA"/>
        </w:rPr>
        <w:t xml:space="preserve"> e.V.</w:t>
      </w:r>
    </w:p>
    <w:p w14:paraId="15F287AD" w14:textId="77777777" w:rsidR="00721980" w:rsidRDefault="00721980" w:rsidP="007F41EB">
      <w:pPr>
        <w:spacing w:after="160" w:line="242" w:lineRule="auto"/>
        <w:rPr>
          <w:rFonts w:ascii="Calibri" w:hAnsi="Calibri" w:cs="F"/>
          <w:b/>
          <w:sz w:val="22"/>
          <w:szCs w:val="22"/>
          <w:lang w:eastAsia="en-US" w:bidi="ar-SA"/>
        </w:rPr>
      </w:pPr>
    </w:p>
    <w:p w14:paraId="37CFCB9E" w14:textId="77777777" w:rsidR="00721980" w:rsidRDefault="00721980" w:rsidP="007F41EB">
      <w:pPr>
        <w:spacing w:after="160" w:line="242" w:lineRule="auto"/>
        <w:rPr>
          <w:rFonts w:ascii="Calibri" w:hAnsi="Calibri" w:cs="F"/>
          <w:b/>
          <w:sz w:val="22"/>
          <w:szCs w:val="22"/>
          <w:lang w:eastAsia="en-US" w:bidi="ar-SA"/>
        </w:rPr>
      </w:pPr>
    </w:p>
    <w:p w14:paraId="25EBBC92" w14:textId="77777777" w:rsidR="000A2B10" w:rsidRPr="000A2B10" w:rsidRDefault="000A2B10" w:rsidP="000A2B10">
      <w:pPr>
        <w:spacing w:after="160" w:line="242" w:lineRule="auto"/>
        <w:rPr>
          <w:rFonts w:ascii="Calibri" w:hAnsi="Calibri" w:cs="F"/>
          <w:b/>
          <w:sz w:val="22"/>
          <w:szCs w:val="22"/>
          <w:lang w:eastAsia="en-US" w:bidi="ar-SA"/>
        </w:rPr>
      </w:pPr>
      <w:r w:rsidRPr="000A2B10">
        <w:rPr>
          <w:rFonts w:ascii="Calibri" w:hAnsi="Calibri" w:cs="F"/>
          <w:b/>
          <w:sz w:val="22"/>
          <w:szCs w:val="22"/>
          <w:lang w:eastAsia="en-US" w:bidi="ar-SA"/>
        </w:rPr>
        <w:t>Sonstige Hinweise:</w:t>
      </w:r>
    </w:p>
    <w:p w14:paraId="5FADEF0D" w14:textId="77777777" w:rsidR="000A2B10" w:rsidRPr="000A2B10" w:rsidRDefault="000A2B10" w:rsidP="000A2B10">
      <w:pPr>
        <w:spacing w:after="160" w:line="242" w:lineRule="auto"/>
        <w:rPr>
          <w:rFonts w:ascii="Calibri" w:hAnsi="Calibri" w:cs="F"/>
          <w:b/>
          <w:sz w:val="22"/>
          <w:szCs w:val="22"/>
          <w:lang w:eastAsia="en-US" w:bidi="ar-SA"/>
        </w:rPr>
      </w:pPr>
      <w:r w:rsidRPr="000A2B10">
        <w:rPr>
          <w:rFonts w:ascii="Calibri" w:hAnsi="Calibri" w:cs="F"/>
          <w:b/>
          <w:sz w:val="22"/>
          <w:szCs w:val="22"/>
          <w:lang w:eastAsia="en-US" w:bidi="ar-SA"/>
        </w:rPr>
        <w:t>Notfallnummer am Turniertag:</w:t>
      </w:r>
    </w:p>
    <w:p w14:paraId="2EB8B78A" w14:textId="77777777" w:rsidR="000A2B10" w:rsidRPr="000A2B10" w:rsidRDefault="000A2B10" w:rsidP="000A2B10">
      <w:pPr>
        <w:spacing w:after="160" w:line="242" w:lineRule="auto"/>
        <w:rPr>
          <w:rFonts w:ascii="Calibri" w:hAnsi="Calibri" w:cs="F"/>
          <w:b/>
          <w:kern w:val="0"/>
          <w:sz w:val="22"/>
          <w:szCs w:val="22"/>
          <w:lang w:eastAsia="en-US" w:bidi="ar-SA"/>
        </w:rPr>
      </w:pPr>
      <w:r w:rsidRPr="000A2B10">
        <w:rPr>
          <w:rFonts w:ascii="Calibri" w:hAnsi="Calibri" w:cs="F"/>
          <w:b/>
          <w:sz w:val="22"/>
          <w:szCs w:val="22"/>
          <w:lang w:eastAsia="en-US" w:bidi="ar-SA"/>
        </w:rPr>
        <w:t xml:space="preserve">Jürgen Wambach </w:t>
      </w:r>
      <w:r w:rsidRPr="000A2B10">
        <w:rPr>
          <w:rFonts w:ascii="Calibri" w:hAnsi="Calibri" w:cs="F"/>
          <w:b/>
          <w:kern w:val="0"/>
          <w:sz w:val="22"/>
          <w:szCs w:val="22"/>
          <w:lang w:eastAsia="en-US" w:bidi="ar-SA"/>
        </w:rPr>
        <w:t>0151 11332591</w:t>
      </w:r>
    </w:p>
    <w:p w14:paraId="0327B8DE" w14:textId="77777777" w:rsidR="000A2B10" w:rsidRDefault="000A2B10" w:rsidP="007F41EB">
      <w:pPr>
        <w:spacing w:after="160" w:line="242" w:lineRule="auto"/>
        <w:rPr>
          <w:rFonts w:ascii="Calibri" w:hAnsi="Calibri" w:cs="F"/>
          <w:b/>
          <w:sz w:val="22"/>
          <w:szCs w:val="22"/>
          <w:lang w:eastAsia="en-US" w:bidi="ar-SA"/>
        </w:rPr>
      </w:pPr>
    </w:p>
    <w:p w14:paraId="25177EAF" w14:textId="699E90D9" w:rsidR="007F41EB" w:rsidRPr="007F41EB" w:rsidRDefault="007F41EB" w:rsidP="007F41EB">
      <w:pPr>
        <w:spacing w:after="160" w:line="242" w:lineRule="auto"/>
        <w:rPr>
          <w:rFonts w:ascii="Calibri" w:hAnsi="Calibri" w:cs="F"/>
          <w:b/>
          <w:sz w:val="22"/>
          <w:szCs w:val="22"/>
          <w:lang w:eastAsia="en-US" w:bidi="ar-SA"/>
        </w:rPr>
      </w:pPr>
      <w:r w:rsidRPr="007F41EB">
        <w:rPr>
          <w:rFonts w:ascii="Calibri" w:hAnsi="Calibri" w:cs="F"/>
          <w:b/>
          <w:sz w:val="22"/>
          <w:szCs w:val="22"/>
          <w:lang w:eastAsia="en-US" w:bidi="ar-SA"/>
        </w:rPr>
        <w:t xml:space="preserve">Spielregeln </w:t>
      </w:r>
    </w:p>
    <w:p w14:paraId="1163BE38" w14:textId="77777777" w:rsidR="007F41EB" w:rsidRPr="007F41EB" w:rsidRDefault="007F41EB" w:rsidP="007F41EB">
      <w:pPr>
        <w:spacing w:after="160" w:line="242" w:lineRule="auto"/>
        <w:jc w:val="both"/>
        <w:rPr>
          <w:rFonts w:ascii="Calibri" w:hAnsi="Calibri" w:cs="F"/>
          <w:sz w:val="22"/>
          <w:szCs w:val="22"/>
          <w:lang w:eastAsia="en-US" w:bidi="ar-SA"/>
        </w:rPr>
      </w:pPr>
      <w:r w:rsidRPr="007F41EB">
        <w:rPr>
          <w:rFonts w:ascii="Calibri" w:hAnsi="Calibri" w:cs="F"/>
          <w:sz w:val="22"/>
          <w:szCs w:val="22"/>
          <w:lang w:eastAsia="en-US" w:bidi="ar-SA"/>
        </w:rPr>
        <w:t xml:space="preserve">Es gelten die </w:t>
      </w:r>
      <w:hyperlink r:id="rId9" w:history="1">
        <w:r w:rsidRPr="007F41EB">
          <w:rPr>
            <w:rFonts w:ascii="Calibri" w:hAnsi="Calibri" w:cs="F"/>
            <w:color w:val="0563C1"/>
            <w:sz w:val="22"/>
            <w:szCs w:val="22"/>
            <w:u w:val="single"/>
            <w:lang w:eastAsia="en-US" w:bidi="ar-SA"/>
          </w:rPr>
          <w:t>FIDE Schnellschachregeln</w:t>
        </w:r>
      </w:hyperlink>
      <w:r w:rsidRPr="007F41EB">
        <w:rPr>
          <w:rFonts w:ascii="Calibri" w:hAnsi="Calibri" w:cs="F"/>
          <w:sz w:val="22"/>
          <w:szCs w:val="22"/>
          <w:lang w:eastAsia="en-US" w:bidi="ar-SA"/>
        </w:rPr>
        <w:t xml:space="preserve"> nach A.4 (ohne definierte Überwachung</w:t>
      </w:r>
      <w:r w:rsidRPr="007F41EB">
        <w:rPr>
          <w:rFonts w:ascii="Calibri" w:hAnsi="Calibri" w:cs="F"/>
          <w:sz w:val="18"/>
          <w:szCs w:val="18"/>
          <w:lang w:eastAsia="en-US" w:bidi="ar-SA"/>
        </w:rPr>
        <w:t xml:space="preserve">) </w:t>
      </w:r>
      <w:r w:rsidRPr="007F41EB">
        <w:rPr>
          <w:rFonts w:ascii="Calibri" w:hAnsi="Calibri" w:cs="F"/>
          <w:sz w:val="22"/>
          <w:szCs w:val="22"/>
          <w:lang w:eastAsia="en-US" w:bidi="ar-SA"/>
        </w:rPr>
        <w:t xml:space="preserve">sowie die </w:t>
      </w:r>
      <w:hyperlink r:id="rId10" w:history="1">
        <w:r w:rsidRPr="007F41EB">
          <w:rPr>
            <w:rFonts w:ascii="Calibri" w:hAnsi="Calibri" w:cs="F"/>
            <w:color w:val="0563C1"/>
            <w:sz w:val="22"/>
            <w:szCs w:val="22"/>
            <w:u w:val="single"/>
            <w:lang w:eastAsia="en-US" w:bidi="ar-SA"/>
          </w:rPr>
          <w:t>Jugendturnierordnung der USJ</w:t>
        </w:r>
      </w:hyperlink>
      <w:r w:rsidRPr="007F41EB">
        <w:rPr>
          <w:rFonts w:ascii="Calibri" w:hAnsi="Calibri" w:cs="F"/>
          <w:sz w:val="22"/>
          <w:szCs w:val="22"/>
          <w:lang w:eastAsia="en-US" w:bidi="ar-SA"/>
        </w:rPr>
        <w:t xml:space="preserve">. Letztere regelt, dass, abweichend von </w:t>
      </w:r>
      <w:proofErr w:type="gramStart"/>
      <w:r w:rsidRPr="007F41EB">
        <w:rPr>
          <w:rFonts w:ascii="Calibri" w:hAnsi="Calibri" w:cs="F"/>
          <w:sz w:val="22"/>
          <w:szCs w:val="22"/>
          <w:lang w:eastAsia="en-US" w:bidi="ar-SA"/>
        </w:rPr>
        <w:t>FIDE Regel</w:t>
      </w:r>
      <w:proofErr w:type="gramEnd"/>
      <w:r w:rsidRPr="007F41EB">
        <w:rPr>
          <w:rFonts w:ascii="Calibri" w:hAnsi="Calibri" w:cs="F"/>
          <w:sz w:val="22"/>
          <w:szCs w:val="22"/>
          <w:lang w:eastAsia="en-US" w:bidi="ar-SA"/>
        </w:rPr>
        <w:t xml:space="preserve"> 7.5.5, in den Altersklassen U8 und U10 erst der dritte regelwidrige Zug die Partie verliert, es entfällt die 1 min. Zeitgutschrift für den Gegner! </w:t>
      </w:r>
    </w:p>
    <w:p w14:paraId="3A851820" w14:textId="77777777" w:rsidR="007F41EB" w:rsidRPr="007F41EB" w:rsidRDefault="007F41EB" w:rsidP="007F41EB">
      <w:pPr>
        <w:spacing w:after="160" w:line="242" w:lineRule="auto"/>
        <w:jc w:val="both"/>
        <w:rPr>
          <w:rFonts w:ascii="Calibri" w:hAnsi="Calibri" w:cs="F"/>
          <w:b/>
          <w:sz w:val="22"/>
          <w:szCs w:val="22"/>
          <w:lang w:eastAsia="en-US" w:bidi="ar-SA"/>
        </w:rPr>
      </w:pPr>
      <w:r w:rsidRPr="007F41EB">
        <w:rPr>
          <w:rFonts w:ascii="Calibri" w:hAnsi="Calibri" w:cs="F"/>
          <w:b/>
          <w:sz w:val="22"/>
          <w:szCs w:val="22"/>
          <w:lang w:eastAsia="en-US" w:bidi="ar-SA"/>
        </w:rPr>
        <w:t xml:space="preserve">Einzelmeisterschaften </w:t>
      </w:r>
    </w:p>
    <w:p w14:paraId="1EFB5CCB" w14:textId="77777777" w:rsidR="007F41EB" w:rsidRPr="007F41EB" w:rsidRDefault="007F41EB" w:rsidP="007F41EB">
      <w:pPr>
        <w:spacing w:after="160" w:line="242" w:lineRule="auto"/>
        <w:jc w:val="both"/>
        <w:rPr>
          <w:rFonts w:ascii="Calibri" w:hAnsi="Calibri" w:cs="F"/>
          <w:sz w:val="22"/>
          <w:szCs w:val="22"/>
          <w:lang w:eastAsia="en-US" w:bidi="ar-SA"/>
        </w:rPr>
      </w:pPr>
      <w:r w:rsidRPr="007F41EB">
        <w:rPr>
          <w:rFonts w:ascii="Calibri" w:hAnsi="Calibri" w:cs="F"/>
          <w:sz w:val="22"/>
          <w:szCs w:val="22"/>
          <w:lang w:eastAsia="en-US" w:bidi="ar-SA"/>
        </w:rPr>
        <w:t>Ausländische Teilnehmer können nur dann an den Einzelmeisterschaften teilnehmen, wenn sie in derselben Saison in keinem anderen nationalen Verband an Einzelmeisterschaft teilnehmen.</w:t>
      </w:r>
    </w:p>
    <w:p w14:paraId="2C239111" w14:textId="77777777" w:rsidR="007F41EB" w:rsidRPr="007F41EB" w:rsidRDefault="007F41EB" w:rsidP="007F41EB">
      <w:pPr>
        <w:spacing w:after="160" w:line="242" w:lineRule="auto"/>
        <w:jc w:val="both"/>
        <w:rPr>
          <w:rFonts w:ascii="Calibri" w:hAnsi="Calibri" w:cs="F"/>
          <w:b/>
          <w:sz w:val="22"/>
          <w:szCs w:val="22"/>
          <w:lang w:eastAsia="en-US" w:bidi="ar-SA"/>
        </w:rPr>
      </w:pPr>
      <w:r w:rsidRPr="007F41EB">
        <w:rPr>
          <w:rFonts w:ascii="Calibri" w:hAnsi="Calibri" w:cs="F"/>
          <w:b/>
          <w:sz w:val="22"/>
          <w:szCs w:val="22"/>
          <w:lang w:eastAsia="en-US" w:bidi="ar-SA"/>
        </w:rPr>
        <w:t>Über die Platzierung entscheiden:</w:t>
      </w:r>
    </w:p>
    <w:p w14:paraId="6B81114A" w14:textId="77777777" w:rsidR="007F41EB" w:rsidRPr="007F41EB" w:rsidRDefault="007F41EB" w:rsidP="007F41EB">
      <w:pPr>
        <w:spacing w:after="160" w:line="242" w:lineRule="auto"/>
        <w:jc w:val="both"/>
        <w:rPr>
          <w:rFonts w:ascii="Calibri" w:hAnsi="Calibri" w:cs="F"/>
          <w:sz w:val="22"/>
          <w:szCs w:val="22"/>
          <w:lang w:eastAsia="en-US" w:bidi="ar-SA"/>
        </w:rPr>
      </w:pPr>
      <w:r w:rsidRPr="007F41EB">
        <w:rPr>
          <w:rFonts w:ascii="Calibri" w:hAnsi="Calibri" w:cs="F"/>
          <w:sz w:val="22"/>
          <w:szCs w:val="22"/>
          <w:lang w:eastAsia="en-US" w:bidi="ar-SA"/>
        </w:rPr>
        <w:t>1. im Schweizer System: 1. die Wertung nach Partiepunkten; 2. bei Gleichstand nach Partiepunkten die nach FIDE korrigierte Buchholzwertung, wobei der Gegner mit den wenigsten Partiepunkten nicht berücksichtigt wird; 3. anschließend die Punktsummenwertung; 4. bei weiterem Gleichstand wird ein Stichkampf gespielt, sofern von der Platzierung eine Qualifikation abhängt.</w:t>
      </w:r>
    </w:p>
    <w:p w14:paraId="51813519" w14:textId="77777777" w:rsidR="007F41EB" w:rsidRPr="007F41EB" w:rsidRDefault="007F41EB" w:rsidP="007F41EB">
      <w:pPr>
        <w:spacing w:after="160" w:line="242" w:lineRule="auto"/>
        <w:jc w:val="both"/>
        <w:rPr>
          <w:rFonts w:ascii="Calibri" w:hAnsi="Calibri" w:cs="F"/>
          <w:sz w:val="22"/>
          <w:szCs w:val="22"/>
          <w:lang w:eastAsia="en-US" w:bidi="ar-SA"/>
        </w:rPr>
      </w:pPr>
      <w:r w:rsidRPr="007F41EB">
        <w:rPr>
          <w:rFonts w:ascii="Calibri" w:hAnsi="Calibri" w:cs="F"/>
          <w:sz w:val="22"/>
          <w:szCs w:val="22"/>
          <w:lang w:eastAsia="en-US" w:bidi="ar-SA"/>
        </w:rPr>
        <w:t>2. im Rundensystem: 1. die Wertung nach Partiepunkten; 2. bei Gleichstand nach Partiepunkten die Sonneborn-Berger-Wertung; 3. bei weiterem Gleichstand wird ein Stichkampf gespielt, sofern von der Platzierung eine Qualifikation abhängt.</w:t>
      </w:r>
    </w:p>
    <w:p w14:paraId="64DEEB9A" w14:textId="77777777" w:rsidR="007F41EB" w:rsidRPr="007F41EB" w:rsidRDefault="007F41EB" w:rsidP="007F41EB">
      <w:pPr>
        <w:spacing w:after="160" w:line="242" w:lineRule="auto"/>
        <w:jc w:val="both"/>
        <w:rPr>
          <w:rFonts w:ascii="Calibri" w:hAnsi="Calibri" w:cs="F"/>
          <w:sz w:val="22"/>
          <w:szCs w:val="22"/>
          <w:lang w:eastAsia="en-US" w:bidi="ar-SA"/>
        </w:rPr>
      </w:pPr>
      <w:r w:rsidRPr="007F41EB">
        <w:rPr>
          <w:rFonts w:ascii="Calibri" w:hAnsi="Calibri" w:cs="F"/>
          <w:sz w:val="22"/>
          <w:szCs w:val="22"/>
          <w:lang w:eastAsia="en-US" w:bidi="ar-SA"/>
        </w:rPr>
        <w:t>Die Turnierleitung kann Abweichungen beim Modus und/oder Spielklassen mit Ankündigung vor Turnierstart festsetzen, um einen ordnungsgemäßen Turnierablauf zu gewährleisten.</w:t>
      </w:r>
    </w:p>
    <w:p w14:paraId="570165E2" w14:textId="77777777" w:rsidR="007F41EB" w:rsidRPr="007F41EB" w:rsidRDefault="007F41EB" w:rsidP="007F41EB">
      <w:pPr>
        <w:spacing w:after="160" w:line="242" w:lineRule="auto"/>
        <w:jc w:val="both"/>
        <w:rPr>
          <w:rFonts w:ascii="Calibri" w:hAnsi="Calibri" w:cs="F"/>
          <w:sz w:val="22"/>
          <w:szCs w:val="22"/>
          <w:lang w:eastAsia="en-US" w:bidi="ar-SA"/>
        </w:rPr>
      </w:pPr>
      <w:r w:rsidRPr="007F41EB">
        <w:rPr>
          <w:rFonts w:ascii="Calibri" w:hAnsi="Calibri" w:cs="F"/>
          <w:sz w:val="22"/>
          <w:szCs w:val="22"/>
          <w:lang w:eastAsia="en-US" w:bidi="ar-SA"/>
        </w:rPr>
        <w:t>Mit der Anmeldung unterwirft sich der Teilnehmer der Sanktionsgewalt des DSB, insbesondere den §§50 bis 60a der Satzung. Mit der Anmeldung stimmt der Teilnehmer zu, dass Partien, Turnierdaten, Spielberichte und Bildmaterial veröffentlicht werden.</w:t>
      </w:r>
    </w:p>
    <w:p w14:paraId="6BAE815D" w14:textId="77777777" w:rsidR="007F41EB" w:rsidRPr="007F41EB" w:rsidRDefault="007F41EB" w:rsidP="007F41EB">
      <w:pPr>
        <w:spacing w:after="160" w:line="242" w:lineRule="auto"/>
        <w:jc w:val="both"/>
        <w:rPr>
          <w:rFonts w:ascii="Calibri" w:hAnsi="Calibri" w:cs="F"/>
          <w:b/>
          <w:bCs/>
          <w:sz w:val="22"/>
          <w:szCs w:val="22"/>
          <w:lang w:eastAsia="en-US" w:bidi="ar-SA"/>
        </w:rPr>
      </w:pPr>
      <w:r w:rsidRPr="007F41EB">
        <w:rPr>
          <w:rFonts w:ascii="Calibri" w:hAnsi="Calibri" w:cs="F"/>
          <w:b/>
          <w:bCs/>
          <w:sz w:val="22"/>
          <w:szCs w:val="22"/>
          <w:lang w:eastAsia="en-US" w:bidi="ar-SA"/>
        </w:rPr>
        <w:t>Aufsicht:</w:t>
      </w:r>
    </w:p>
    <w:p w14:paraId="20A5CD11" w14:textId="77777777" w:rsidR="007F41EB" w:rsidRPr="007F41EB" w:rsidRDefault="007F41EB" w:rsidP="007F41EB">
      <w:pPr>
        <w:spacing w:after="160" w:line="242" w:lineRule="auto"/>
        <w:jc w:val="both"/>
        <w:rPr>
          <w:rFonts w:ascii="Calibri" w:hAnsi="Calibri" w:cs="F"/>
          <w:sz w:val="22"/>
          <w:szCs w:val="22"/>
          <w:lang w:eastAsia="en-US" w:bidi="ar-SA"/>
        </w:rPr>
      </w:pPr>
      <w:r w:rsidRPr="007F41EB">
        <w:rPr>
          <w:rFonts w:ascii="Calibri" w:hAnsi="Calibri" w:cs="F"/>
          <w:sz w:val="22"/>
          <w:szCs w:val="22"/>
          <w:lang w:eastAsia="en-US" w:bidi="ar-SA"/>
        </w:rPr>
        <w:t>Die Veranstalter übernehmen keine Aufsichtspflicht. Diese verbleibt bei den mitgereisten Eltern bzw. Betreuungspersonen. Ist die Aufsicht nicht gewährleistet kann keine Teilnahme erfolgen.</w:t>
      </w:r>
    </w:p>
    <w:p w14:paraId="10887359" w14:textId="77777777" w:rsidR="007F41EB" w:rsidRDefault="007F41EB">
      <w:pPr>
        <w:jc w:val="center"/>
        <w:rPr>
          <w:rFonts w:ascii="Times New Roman" w:hAnsi="Times New Roman"/>
          <w:b/>
          <w:bCs/>
          <w:sz w:val="36"/>
        </w:rPr>
      </w:pPr>
    </w:p>
    <w:sectPr w:rsidR="007F41E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427A4" w14:textId="77777777" w:rsidR="00E16311" w:rsidRDefault="00E16311">
      <w:pPr>
        <w:rPr>
          <w:rFonts w:hint="eastAsia"/>
        </w:rPr>
      </w:pPr>
      <w:r>
        <w:separator/>
      </w:r>
    </w:p>
  </w:endnote>
  <w:endnote w:type="continuationSeparator" w:id="0">
    <w:p w14:paraId="6FA2FFCE" w14:textId="77777777" w:rsidR="00E16311" w:rsidRDefault="00E163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C3576" w14:textId="77777777" w:rsidR="00E16311" w:rsidRDefault="00E16311">
      <w:pPr>
        <w:rPr>
          <w:rFonts w:hint="eastAsia"/>
        </w:rPr>
      </w:pPr>
      <w:r>
        <w:rPr>
          <w:color w:val="000000"/>
        </w:rPr>
        <w:separator/>
      </w:r>
    </w:p>
  </w:footnote>
  <w:footnote w:type="continuationSeparator" w:id="0">
    <w:p w14:paraId="51E01594" w14:textId="77777777" w:rsidR="00E16311" w:rsidRDefault="00E1631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B8"/>
    <w:rsid w:val="000A2B10"/>
    <w:rsid w:val="001C6364"/>
    <w:rsid w:val="002E6FF6"/>
    <w:rsid w:val="004C6CB8"/>
    <w:rsid w:val="00512928"/>
    <w:rsid w:val="00721980"/>
    <w:rsid w:val="00724A6E"/>
    <w:rsid w:val="007F41EB"/>
    <w:rsid w:val="00972ADE"/>
    <w:rsid w:val="00A638DD"/>
    <w:rsid w:val="00C67925"/>
    <w:rsid w:val="00E16311"/>
    <w:rsid w:val="00E42983"/>
    <w:rsid w:val="00E51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219B"/>
  <w15:docId w15:val="{FA237097-B26C-4DDF-BDFF-A57FE8CC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rFonts w:ascii="Liberation Serif" w:eastAsia="SimSun" w:hAnsi="Liberation Serif"/>
      <w:b/>
      <w:bCs/>
      <w:sz w:val="48"/>
      <w:szCs w:val="4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styleId="Hyperlink">
    <w:name w:val="Hyperlink"/>
    <w:basedOn w:val="Absatz-Standardschriftart"/>
    <w:rsid w:val="007F41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chach-aschaffenburg.de/turnierseite/index.php/kjem-spu-2025/"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jugend.ufra-schach.de/wp-content/uploads/2023/03/USJ-Turnierordnung_260323.pdf" TargetMode="External"/><Relationship Id="rId4" Type="http://schemas.openxmlformats.org/officeDocument/2006/relationships/footnotes" Target="footnotes.xml"/><Relationship Id="rId9" Type="http://schemas.openxmlformats.org/officeDocument/2006/relationships/hyperlink" Target="file:///C:\Users\Markus\Downloads\FIDE-Regeln-2023-Final-DEUTSCH.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Heeg</dc:creator>
  <cp:lastModifiedBy>Alexander Heeg</cp:lastModifiedBy>
  <cp:revision>2</cp:revision>
  <dcterms:created xsi:type="dcterms:W3CDTF">2025-07-27T13:52:00Z</dcterms:created>
  <dcterms:modified xsi:type="dcterms:W3CDTF">2025-07-27T13:52:00Z</dcterms:modified>
</cp:coreProperties>
</file>